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1CBE" w14:textId="1EACBDD2" w:rsidR="0042554D" w:rsidRDefault="0042554D" w:rsidP="00EE1A53">
      <w:pPr>
        <w:jc w:val="center"/>
        <w:rPr>
          <w:b/>
          <w:bCs/>
        </w:rPr>
      </w:pPr>
    </w:p>
    <w:p w14:paraId="7C771399" w14:textId="7EBCD3B7" w:rsidR="00D75242" w:rsidRDefault="00EE1A53" w:rsidP="00EE1A53">
      <w:pPr>
        <w:jc w:val="center"/>
        <w:rPr>
          <w:b/>
          <w:bCs/>
        </w:rPr>
      </w:pPr>
      <w:r>
        <w:rPr>
          <w:b/>
          <w:bCs/>
        </w:rPr>
        <w:t>MDRN</w:t>
      </w:r>
      <w:r w:rsidR="00310516">
        <w:rPr>
          <w:b/>
          <w:bCs/>
        </w:rPr>
        <w:t xml:space="preserve"> H.B.</w:t>
      </w:r>
      <w:r>
        <w:rPr>
          <w:b/>
          <w:bCs/>
        </w:rPr>
        <w:t xml:space="preserve"> </w:t>
      </w:r>
      <w:r w:rsidR="00042C08">
        <w:rPr>
          <w:b/>
          <w:bCs/>
        </w:rPr>
        <w:t xml:space="preserve">HEALTH SAVINGS </w:t>
      </w:r>
      <w:r w:rsidR="00CC35E1">
        <w:rPr>
          <w:b/>
          <w:bCs/>
        </w:rPr>
        <w:t>PLAN</w:t>
      </w:r>
      <w:r w:rsidR="00042C08">
        <w:rPr>
          <w:b/>
          <w:bCs/>
        </w:rPr>
        <w:t xml:space="preserve"> (HS</w:t>
      </w:r>
      <w:r w:rsidR="00CC35E1">
        <w:rPr>
          <w:b/>
          <w:bCs/>
        </w:rPr>
        <w:t>P</w:t>
      </w:r>
      <w:r w:rsidR="00042C08">
        <w:rPr>
          <w:b/>
          <w:bCs/>
        </w:rPr>
        <w:t xml:space="preserve">) </w:t>
      </w:r>
      <w:r>
        <w:rPr>
          <w:b/>
          <w:bCs/>
        </w:rPr>
        <w:t>P</w:t>
      </w:r>
      <w:r w:rsidR="0098116A">
        <w:rPr>
          <w:b/>
          <w:bCs/>
        </w:rPr>
        <w:t>OLICY</w:t>
      </w:r>
      <w:r w:rsidR="00471CE7">
        <w:rPr>
          <w:b/>
          <w:bCs/>
        </w:rPr>
        <w:t xml:space="preserve"> SUMMARY</w:t>
      </w:r>
    </w:p>
    <w:p w14:paraId="030B2608" w14:textId="77777777" w:rsidR="00EE1A53" w:rsidRDefault="00EE1A53" w:rsidP="00EE1A53">
      <w:pPr>
        <w:jc w:val="center"/>
        <w:rPr>
          <w:b/>
          <w:bCs/>
        </w:rPr>
      </w:pPr>
    </w:p>
    <w:p w14:paraId="669EB5D1" w14:textId="5E46AEF2" w:rsidR="00EE1A53" w:rsidRPr="00EE1A53" w:rsidRDefault="00EE1A53" w:rsidP="00EE1A53">
      <w:r>
        <w:rPr>
          <w:b/>
          <w:bCs/>
        </w:rPr>
        <w:t xml:space="preserve">OVERVIEW: </w:t>
      </w:r>
      <w:r>
        <w:t xml:space="preserve">MDRN Health and Beauty </w:t>
      </w:r>
      <w:r w:rsidR="00042C08">
        <w:t>HS</w:t>
      </w:r>
      <w:r w:rsidR="00CC35E1">
        <w:t>P</w:t>
      </w:r>
      <w:r>
        <w:t xml:space="preserve"> is an annual p</w:t>
      </w:r>
      <w:r w:rsidR="00CC35E1">
        <w:t>rogram</w:t>
      </w:r>
      <w:r>
        <w:t xml:space="preserve"> for individual parties looking for cost efficient options.  The </w:t>
      </w:r>
      <w:r w:rsidR="00CC35E1">
        <w:t>Health Savings</w:t>
      </w:r>
      <w:r>
        <w:t xml:space="preserve"> </w:t>
      </w:r>
      <w:r w:rsidR="00CC35E1">
        <w:t>P</w:t>
      </w:r>
      <w:r>
        <w:t>lan is a</w:t>
      </w:r>
      <w:r w:rsidR="0098116A">
        <w:t xml:space="preserve"> </w:t>
      </w:r>
      <w:r w:rsidR="00471CE7">
        <w:t>twelve-month</w:t>
      </w:r>
      <w:r w:rsidR="0098116A">
        <w:t xml:space="preserve"> </w:t>
      </w:r>
      <w:r>
        <w:t xml:space="preserve">contract with an affordable monthly monetary requirement that will go towards services at the time of rendered services. With our plan </w:t>
      </w:r>
      <w:r w:rsidR="0042554D">
        <w:t>individuals</w:t>
      </w:r>
      <w:r>
        <w:t xml:space="preserve"> gain access to </w:t>
      </w:r>
      <w:r w:rsidR="0098116A">
        <w:t>telehealth services</w:t>
      </w:r>
      <w:r>
        <w:t xml:space="preserve"> </w:t>
      </w:r>
      <w:r w:rsidR="0098116A">
        <w:t xml:space="preserve">and the </w:t>
      </w:r>
      <w:r w:rsidR="00C81523">
        <w:t>apothecary</w:t>
      </w:r>
      <w:r w:rsidR="0098116A">
        <w:t xml:space="preserve"> </w:t>
      </w:r>
      <w:r>
        <w:t>at discounted price</w:t>
      </w:r>
      <w:r w:rsidR="0098116A">
        <w:t>s.</w:t>
      </w:r>
      <w:r>
        <w:t xml:space="preserve"> </w:t>
      </w:r>
      <w:r w:rsidR="00DE3F90">
        <w:t>If you do not cancel, y</w:t>
      </w:r>
      <w:r w:rsidR="0098116A">
        <w:t xml:space="preserve">our policy will automatically </w:t>
      </w:r>
      <w:r w:rsidR="0042554D">
        <w:t>be renewed</w:t>
      </w:r>
      <w:r w:rsidR="0098116A">
        <w:t xml:space="preserve"> </w:t>
      </w:r>
      <w:r w:rsidR="00DE3F90">
        <w:t>every year.</w:t>
      </w:r>
      <w:r w:rsidR="00212828">
        <w:t xml:space="preserve">  </w:t>
      </w:r>
    </w:p>
    <w:p w14:paraId="734516B6" w14:textId="1628B3F0" w:rsidR="00EE1A53" w:rsidRPr="0098116A" w:rsidRDefault="00EE1A53" w:rsidP="00EE1A53">
      <w:r>
        <w:rPr>
          <w:b/>
          <w:bCs/>
        </w:rPr>
        <w:t>PLAN BREAKDOWN</w:t>
      </w:r>
      <w:r w:rsidR="0098116A">
        <w:rPr>
          <w:b/>
          <w:bCs/>
        </w:rPr>
        <w:t xml:space="preserve">: </w:t>
      </w:r>
      <w:r w:rsidR="0098116A">
        <w:t>Reference the chart</w:t>
      </w:r>
      <w:r w:rsidR="001F6236">
        <w:t>s</w:t>
      </w:r>
      <w:r w:rsidR="0098116A">
        <w:t xml:space="preserve"> below and choose the p</w:t>
      </w:r>
      <w:r w:rsidR="00CC35E1">
        <w:t>lan</w:t>
      </w:r>
      <w:r w:rsidR="001F6236">
        <w:t>(s)</w:t>
      </w:r>
      <w:r w:rsidR="0098116A">
        <w:t xml:space="preserve"> that best fits your needs.   All parties have the option to select (1) of the two plans or both according to their individual </w:t>
      </w:r>
      <w:r w:rsidR="001F6236">
        <w:t>health requirements</w:t>
      </w:r>
      <w:r w:rsidR="0098116A">
        <w:t xml:space="preserve">. </w:t>
      </w:r>
      <w:r w:rsidR="00DE3F90">
        <w:t xml:space="preserve">At the end of the year any unused monies will </w:t>
      </w:r>
      <w:r w:rsidR="0042554D">
        <w:t>roll over</w:t>
      </w:r>
      <w:r w:rsidR="00DE3F90">
        <w:t xml:space="preserve"> to the following fiscal year.</w:t>
      </w:r>
      <w:r w:rsidR="00212828">
        <w:t xml:space="preserve"> Access to account savings will be available to parties after a month of payment.</w:t>
      </w:r>
    </w:p>
    <w:p w14:paraId="57E1A5ED" w14:textId="77777777" w:rsidR="00EE1A53" w:rsidRDefault="00EE1A53" w:rsidP="00EE1A53">
      <w:pPr>
        <w:rPr>
          <w:b/>
          <w:bCs/>
        </w:rPr>
      </w:pPr>
    </w:p>
    <w:p w14:paraId="5CDF4F99" w14:textId="58E48E8D" w:rsidR="00EE1A53" w:rsidRDefault="00EE1A53" w:rsidP="0098116A">
      <w:pPr>
        <w:pStyle w:val="ListParagraph"/>
        <w:numPr>
          <w:ilvl w:val="0"/>
          <w:numId w:val="1"/>
        </w:numPr>
        <w:rPr>
          <w:b/>
          <w:bCs/>
        </w:rPr>
      </w:pPr>
      <w:r w:rsidRPr="0098116A">
        <w:rPr>
          <w:b/>
          <w:bCs/>
        </w:rPr>
        <w:t>MDRN FARMACY COVERAGE</w:t>
      </w:r>
      <w:r w:rsidR="0098116A">
        <w:rPr>
          <w:b/>
          <w:bCs/>
        </w:rPr>
        <w:t xml:space="preserve"> Plan: </w:t>
      </w:r>
      <w:r w:rsidR="00DB6336">
        <w:t>Coverage excludes shipping and handling expenses.</w:t>
      </w:r>
      <w:r w:rsidR="00A715D5">
        <w:t xml:space="preserve">  Coverage paid out by our company is based upon payment by the responsible party into their </w:t>
      </w:r>
      <w:r w:rsidR="00212828">
        <w:t>savings</w:t>
      </w:r>
      <w:r w:rsidR="00A715D5">
        <w:t xml:space="preserve"> account.   </w:t>
      </w:r>
    </w:p>
    <w:p w14:paraId="50623954" w14:textId="77777777" w:rsidR="0098116A" w:rsidRDefault="0098116A" w:rsidP="0098116A">
      <w:pPr>
        <w:pStyle w:val="ListParagraph"/>
        <w:rPr>
          <w:b/>
          <w:bCs/>
        </w:rPr>
      </w:pPr>
    </w:p>
    <w:p w14:paraId="2C8AE92E" w14:textId="59C132A2" w:rsidR="00C0067E" w:rsidRPr="001F6236" w:rsidRDefault="00C0067E" w:rsidP="00F710C1">
      <w:pPr>
        <w:ind w:firstLine="360"/>
        <w:rPr>
          <w:u w:val="single"/>
        </w:rPr>
      </w:pPr>
      <w:r>
        <w:rPr>
          <w:b/>
          <w:bCs/>
          <w:u w:val="single"/>
        </w:rPr>
        <w:t xml:space="preserve">BIWEEKLY PREMIUM PAYOUT     </w:t>
      </w:r>
      <w:r w:rsidR="00F710C1">
        <w:rPr>
          <w:b/>
          <w:bCs/>
          <w:u w:val="single"/>
        </w:rPr>
        <w:tab/>
      </w:r>
      <w:r>
        <w:rPr>
          <w:b/>
          <w:bCs/>
          <w:u w:val="single"/>
        </w:rPr>
        <w:t>YOUR PLAN BALANCE</w:t>
      </w:r>
      <w:r w:rsidR="00F710C1">
        <w:rPr>
          <w:b/>
          <w:bCs/>
          <w:u w:val="single"/>
        </w:rPr>
        <w:tab/>
        <w:t xml:space="preserve">TRANSACTIONS &amp; </w:t>
      </w:r>
      <w:r>
        <w:rPr>
          <w:b/>
          <w:bCs/>
          <w:u w:val="single"/>
        </w:rPr>
        <w:t>FEES</w:t>
      </w:r>
      <w:r w:rsidR="00F710C1">
        <w:rPr>
          <w:b/>
          <w:bCs/>
          <w:u w:val="single"/>
        </w:rPr>
        <w:t xml:space="preserve"> </w:t>
      </w:r>
      <w:r w:rsidR="00F710C1" w:rsidRPr="00F710C1">
        <w:rPr>
          <w:u w:val="single"/>
        </w:rPr>
        <w:t>(i.e. consultations)</w:t>
      </w:r>
    </w:p>
    <w:p w14:paraId="68206605" w14:textId="701B963C" w:rsidR="00C0067E" w:rsidRPr="00C0067E" w:rsidRDefault="00C0067E" w:rsidP="00F710C1">
      <w:pPr>
        <w:ind w:firstLine="360"/>
      </w:pPr>
      <w:r>
        <w:t xml:space="preserve">For every </w:t>
      </w:r>
      <w:r w:rsidRPr="00C0067E">
        <w:t>$ 35</w:t>
      </w:r>
      <w:r>
        <w:t xml:space="preserve"> payment</w:t>
      </w:r>
      <w:r>
        <w:tab/>
      </w:r>
      <w:r>
        <w:tab/>
      </w:r>
      <w:r>
        <w:tab/>
        <w:t>$2</w:t>
      </w:r>
      <w:r w:rsidR="000119E1">
        <w:t>0</w:t>
      </w:r>
      <w:r>
        <w:tab/>
      </w:r>
      <w:r>
        <w:tab/>
      </w:r>
      <w:r>
        <w:tab/>
      </w:r>
      <w:r>
        <w:tab/>
      </w:r>
      <w:r>
        <w:tab/>
        <w:t>$</w:t>
      </w:r>
      <w:r w:rsidR="000119E1">
        <w:t>10</w:t>
      </w:r>
    </w:p>
    <w:tbl>
      <w:tblPr>
        <w:tblStyle w:val="TableGrid"/>
        <w:tblpPr w:leftFromText="180" w:rightFromText="180" w:vertAnchor="text" w:horzAnchor="margin" w:tblpY="224"/>
        <w:tblW w:w="10440" w:type="dxa"/>
        <w:tblLook w:val="04A0" w:firstRow="1" w:lastRow="0" w:firstColumn="1" w:lastColumn="0" w:noHBand="0" w:noVBand="1"/>
      </w:tblPr>
      <w:tblGrid>
        <w:gridCol w:w="2160"/>
        <w:gridCol w:w="2107"/>
        <w:gridCol w:w="2123"/>
        <w:gridCol w:w="1980"/>
        <w:gridCol w:w="2070"/>
      </w:tblGrid>
      <w:tr w:rsidR="00F710C1" w14:paraId="2D9C1D41" w14:textId="77777777" w:rsidTr="00F710C1">
        <w:tc>
          <w:tcPr>
            <w:tcW w:w="2160" w:type="dxa"/>
          </w:tcPr>
          <w:p w14:paraId="53B4FD2B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Monthly Premium </w:t>
            </w:r>
            <w:r w:rsidRPr="00471CE7">
              <w:t>(Individual)</w:t>
            </w:r>
          </w:p>
        </w:tc>
        <w:tc>
          <w:tcPr>
            <w:tcW w:w="2107" w:type="dxa"/>
          </w:tcPr>
          <w:p w14:paraId="61614864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123" w:type="dxa"/>
          </w:tcPr>
          <w:p w14:paraId="6C230223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MDRN Farmacy herbal retail </w:t>
            </w:r>
          </w:p>
        </w:tc>
        <w:tc>
          <w:tcPr>
            <w:tcW w:w="1980" w:type="dxa"/>
          </w:tcPr>
          <w:p w14:paraId="1615E271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Fullscript</w:t>
            </w:r>
            <w:proofErr w:type="spellEnd"/>
          </w:p>
        </w:tc>
        <w:tc>
          <w:tcPr>
            <w:tcW w:w="2070" w:type="dxa"/>
          </w:tcPr>
          <w:p w14:paraId="609CC7EA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</w:t>
            </w:r>
          </w:p>
          <w:p w14:paraId="79AE450E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(Gut | Hormonal)</w:t>
            </w:r>
          </w:p>
        </w:tc>
      </w:tr>
      <w:tr w:rsidR="00F710C1" w14:paraId="01735B66" w14:textId="77777777" w:rsidTr="00F710C1">
        <w:tc>
          <w:tcPr>
            <w:tcW w:w="2160" w:type="dxa"/>
          </w:tcPr>
          <w:p w14:paraId="591B0122" w14:textId="77777777" w:rsidR="00F710C1" w:rsidRPr="0098116A" w:rsidRDefault="00F710C1" w:rsidP="00F710C1">
            <w:pPr>
              <w:pStyle w:val="ListParagraph"/>
              <w:ind w:left="0"/>
            </w:pPr>
            <w:r>
              <w:t>$35 twice per month (bi-weekly)</w:t>
            </w:r>
          </w:p>
        </w:tc>
        <w:tc>
          <w:tcPr>
            <w:tcW w:w="2107" w:type="dxa"/>
          </w:tcPr>
          <w:p w14:paraId="7C0749DE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F</w:t>
            </w:r>
            <w:r w:rsidRPr="0098116A">
              <w:t>irst 3 months of</w:t>
            </w:r>
            <w:r>
              <w:t xml:space="preserve"> the </w:t>
            </w:r>
            <w:r w:rsidRPr="0098116A">
              <w:t xml:space="preserve"> plan</w:t>
            </w:r>
            <w:r>
              <w:t>’s onset</w:t>
            </w:r>
          </w:p>
        </w:tc>
        <w:tc>
          <w:tcPr>
            <w:tcW w:w="2123" w:type="dxa"/>
          </w:tcPr>
          <w:p w14:paraId="3EA9C5A8" w14:textId="77777777" w:rsidR="00F710C1" w:rsidRPr="00471CE7" w:rsidRDefault="00F710C1" w:rsidP="00F710C1">
            <w:pPr>
              <w:pStyle w:val="ListParagraph"/>
              <w:ind w:left="0"/>
            </w:pPr>
            <w:r>
              <w:t xml:space="preserve">Up to 25% covered </w:t>
            </w:r>
          </w:p>
        </w:tc>
        <w:tc>
          <w:tcPr>
            <w:tcW w:w="1980" w:type="dxa"/>
          </w:tcPr>
          <w:p w14:paraId="12108930" w14:textId="77777777" w:rsidR="00F710C1" w:rsidRPr="00471CE7" w:rsidRDefault="00F710C1" w:rsidP="00F710C1">
            <w:pPr>
              <w:pStyle w:val="ListParagraph"/>
              <w:ind w:left="0"/>
            </w:pPr>
            <w:r>
              <w:t>25% covered |75% you pay</w:t>
            </w:r>
          </w:p>
        </w:tc>
        <w:tc>
          <w:tcPr>
            <w:tcW w:w="2070" w:type="dxa"/>
          </w:tcPr>
          <w:p w14:paraId="1F6BB109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F710C1" w14:paraId="69A16E51" w14:textId="77777777" w:rsidTr="00F710C1">
        <w:tc>
          <w:tcPr>
            <w:tcW w:w="2160" w:type="dxa"/>
          </w:tcPr>
          <w:p w14:paraId="41860337" w14:textId="77777777" w:rsidR="00F710C1" w:rsidRPr="00DE3F90" w:rsidRDefault="00F710C1" w:rsidP="00F710C1">
            <w:pPr>
              <w:pStyle w:val="ListParagraph"/>
              <w:ind w:left="0"/>
            </w:pPr>
            <w:r w:rsidRPr="00FF4321">
              <w:t>$35 twice per month</w:t>
            </w:r>
            <w:r>
              <w:t xml:space="preserve"> (biweekly)</w:t>
            </w:r>
          </w:p>
        </w:tc>
        <w:tc>
          <w:tcPr>
            <w:tcW w:w="2107" w:type="dxa"/>
          </w:tcPr>
          <w:p w14:paraId="4D36206F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3-6 months of plan</w:t>
            </w:r>
            <w:r>
              <w:t xml:space="preserve"> onset</w:t>
            </w:r>
          </w:p>
        </w:tc>
        <w:tc>
          <w:tcPr>
            <w:tcW w:w="2123" w:type="dxa"/>
          </w:tcPr>
          <w:p w14:paraId="30872442" w14:textId="77777777" w:rsidR="00F710C1" w:rsidRPr="00970D23" w:rsidRDefault="00F710C1" w:rsidP="00F710C1">
            <w:pPr>
              <w:pStyle w:val="ListParagraph"/>
              <w:ind w:left="0"/>
            </w:pPr>
            <w:r>
              <w:t xml:space="preserve">Up to 50% covered </w:t>
            </w:r>
          </w:p>
        </w:tc>
        <w:tc>
          <w:tcPr>
            <w:tcW w:w="1980" w:type="dxa"/>
          </w:tcPr>
          <w:p w14:paraId="4B86BAF6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35% covered |65% you pay</w:t>
            </w:r>
          </w:p>
        </w:tc>
        <w:tc>
          <w:tcPr>
            <w:tcW w:w="2070" w:type="dxa"/>
          </w:tcPr>
          <w:p w14:paraId="0ABF580C" w14:textId="77777777" w:rsidR="00F710C1" w:rsidRPr="00042C08" w:rsidRDefault="00F710C1" w:rsidP="00F710C1">
            <w:pPr>
              <w:pStyle w:val="ListParagraph"/>
              <w:ind w:left="0"/>
            </w:pPr>
            <w:r>
              <w:t>Up to $83 covered</w:t>
            </w:r>
          </w:p>
        </w:tc>
      </w:tr>
      <w:tr w:rsidR="00F710C1" w14:paraId="6F70E8EF" w14:textId="77777777" w:rsidTr="00F710C1">
        <w:tc>
          <w:tcPr>
            <w:tcW w:w="2160" w:type="dxa"/>
          </w:tcPr>
          <w:p w14:paraId="71120ED6" w14:textId="77777777" w:rsidR="00F710C1" w:rsidRPr="00DE3F90" w:rsidRDefault="00F710C1" w:rsidP="00F710C1">
            <w:pPr>
              <w:pStyle w:val="ListParagraph"/>
              <w:ind w:left="0"/>
            </w:pPr>
            <w:r w:rsidRPr="00FF4321">
              <w:t>$35 twice per month</w:t>
            </w:r>
            <w:r>
              <w:t xml:space="preserve"> (biweekly)</w:t>
            </w:r>
          </w:p>
        </w:tc>
        <w:tc>
          <w:tcPr>
            <w:tcW w:w="2107" w:type="dxa"/>
          </w:tcPr>
          <w:p w14:paraId="5CD019C8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6-12 months of your plan</w:t>
            </w:r>
            <w:r>
              <w:t xml:space="preserve"> onset</w:t>
            </w:r>
          </w:p>
        </w:tc>
        <w:tc>
          <w:tcPr>
            <w:tcW w:w="2123" w:type="dxa"/>
          </w:tcPr>
          <w:p w14:paraId="3679F92E" w14:textId="77777777" w:rsidR="00F710C1" w:rsidRPr="00970D23" w:rsidRDefault="00F710C1" w:rsidP="00F710C1">
            <w:pPr>
              <w:pStyle w:val="ListParagraph"/>
              <w:ind w:left="0"/>
            </w:pPr>
            <w:r>
              <w:t xml:space="preserve">Up to 100% covered </w:t>
            </w:r>
          </w:p>
        </w:tc>
        <w:tc>
          <w:tcPr>
            <w:tcW w:w="1980" w:type="dxa"/>
          </w:tcPr>
          <w:p w14:paraId="0059264B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35% covered |65% you pay</w:t>
            </w:r>
          </w:p>
        </w:tc>
        <w:tc>
          <w:tcPr>
            <w:tcW w:w="2070" w:type="dxa"/>
          </w:tcPr>
          <w:p w14:paraId="771EB0C8" w14:textId="77777777" w:rsidR="00F710C1" w:rsidRPr="00042C08" w:rsidRDefault="00F710C1" w:rsidP="00F710C1">
            <w:pPr>
              <w:pStyle w:val="ListParagraph"/>
              <w:ind w:left="0"/>
            </w:pPr>
            <w:r>
              <w:t>Up to $215 covered</w:t>
            </w:r>
          </w:p>
        </w:tc>
      </w:tr>
    </w:tbl>
    <w:p w14:paraId="7DCDCDDC" w14:textId="77777777" w:rsidR="002E2B41" w:rsidRPr="0098116A" w:rsidRDefault="002E2B41" w:rsidP="0098116A">
      <w:pPr>
        <w:pStyle w:val="ListParagraph"/>
        <w:rPr>
          <w:b/>
          <w:bCs/>
        </w:rPr>
      </w:pPr>
    </w:p>
    <w:p w14:paraId="1703F08B" w14:textId="77777777" w:rsidR="0098116A" w:rsidRDefault="0098116A" w:rsidP="0098116A">
      <w:pPr>
        <w:pStyle w:val="ListParagraph"/>
        <w:rPr>
          <w:b/>
          <w:bCs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2250"/>
        <w:gridCol w:w="2070"/>
        <w:gridCol w:w="2070"/>
        <w:gridCol w:w="1980"/>
        <w:gridCol w:w="2070"/>
      </w:tblGrid>
      <w:tr w:rsidR="00296B69" w14:paraId="5E5D5CB0" w14:textId="77777777" w:rsidTr="00F710C1">
        <w:tc>
          <w:tcPr>
            <w:tcW w:w="2250" w:type="dxa"/>
          </w:tcPr>
          <w:p w14:paraId="47F18724" w14:textId="5B0A1ECE" w:rsidR="00296B69" w:rsidRPr="00471CE7" w:rsidRDefault="00296B69" w:rsidP="000F6407">
            <w:pPr>
              <w:pStyle w:val="ListParagraph"/>
              <w:ind w:left="0"/>
            </w:pPr>
            <w:r>
              <w:rPr>
                <w:b/>
                <w:bCs/>
              </w:rPr>
              <w:t xml:space="preserve">Monthly Premium </w:t>
            </w:r>
            <w:r w:rsidRPr="00471CE7">
              <w:t xml:space="preserve">(Group </w:t>
            </w:r>
            <w:r>
              <w:t xml:space="preserve">of </w:t>
            </w:r>
            <w:r w:rsidR="00212828">
              <w:t>3</w:t>
            </w:r>
            <w:r>
              <w:t xml:space="preserve"> or more individuals)</w:t>
            </w:r>
          </w:p>
        </w:tc>
        <w:tc>
          <w:tcPr>
            <w:tcW w:w="2070" w:type="dxa"/>
          </w:tcPr>
          <w:p w14:paraId="17DA4067" w14:textId="77777777" w:rsidR="00296B69" w:rsidRDefault="00296B69" w:rsidP="000F64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070" w:type="dxa"/>
          </w:tcPr>
          <w:p w14:paraId="2AE57E78" w14:textId="77777777" w:rsidR="00296B69" w:rsidRDefault="00296B69" w:rsidP="000F64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MDRN Farmacy herbal retail </w:t>
            </w:r>
          </w:p>
        </w:tc>
        <w:tc>
          <w:tcPr>
            <w:tcW w:w="1980" w:type="dxa"/>
          </w:tcPr>
          <w:p w14:paraId="41318D46" w14:textId="77777777" w:rsidR="00296B69" w:rsidRDefault="00296B69" w:rsidP="000F6407">
            <w:pPr>
              <w:pStyle w:val="ListParagraph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Fullscript</w:t>
            </w:r>
            <w:proofErr w:type="spellEnd"/>
          </w:p>
        </w:tc>
        <w:tc>
          <w:tcPr>
            <w:tcW w:w="2070" w:type="dxa"/>
          </w:tcPr>
          <w:p w14:paraId="385020AF" w14:textId="77777777" w:rsidR="00296B69" w:rsidRDefault="00296B69" w:rsidP="000F64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</w:t>
            </w:r>
          </w:p>
          <w:p w14:paraId="25057B71" w14:textId="63D9922B" w:rsidR="00F96123" w:rsidRDefault="00F96123" w:rsidP="000F64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(Gut | Hormonal)</w:t>
            </w:r>
          </w:p>
        </w:tc>
      </w:tr>
      <w:tr w:rsidR="00296B69" w14:paraId="79AC7C39" w14:textId="77777777" w:rsidTr="00F710C1">
        <w:tc>
          <w:tcPr>
            <w:tcW w:w="2250" w:type="dxa"/>
          </w:tcPr>
          <w:p w14:paraId="77FEDC93" w14:textId="669E290A" w:rsidR="00296B69" w:rsidRDefault="00296B69" w:rsidP="000F6407">
            <w:pPr>
              <w:pStyle w:val="ListParagraph"/>
              <w:ind w:left="0"/>
            </w:pPr>
            <w:r>
              <w:t>$30 twice per month</w:t>
            </w:r>
            <w:r w:rsidR="00271519">
              <w:t xml:space="preserve"> (biweekly)</w:t>
            </w:r>
          </w:p>
        </w:tc>
        <w:tc>
          <w:tcPr>
            <w:tcW w:w="2070" w:type="dxa"/>
          </w:tcPr>
          <w:p w14:paraId="0760F974" w14:textId="77777777" w:rsidR="00296B69" w:rsidRDefault="00296B69" w:rsidP="000F6407">
            <w:pPr>
              <w:pStyle w:val="ListParagraph"/>
              <w:ind w:left="0"/>
              <w:rPr>
                <w:b/>
                <w:bCs/>
              </w:rPr>
            </w:pPr>
            <w:r>
              <w:t>F</w:t>
            </w:r>
            <w:r w:rsidRPr="0098116A">
              <w:t>irst 3 months of</w:t>
            </w:r>
            <w:r>
              <w:t xml:space="preserve"> the </w:t>
            </w:r>
            <w:r w:rsidRPr="0098116A">
              <w:t xml:space="preserve"> plan</w:t>
            </w:r>
            <w:r>
              <w:t>’s onset</w:t>
            </w:r>
          </w:p>
        </w:tc>
        <w:tc>
          <w:tcPr>
            <w:tcW w:w="2070" w:type="dxa"/>
          </w:tcPr>
          <w:p w14:paraId="2E4E88F8" w14:textId="2FD91662" w:rsidR="00296B69" w:rsidRPr="00471CE7" w:rsidRDefault="00296B69" w:rsidP="000F6407">
            <w:pPr>
              <w:pStyle w:val="ListParagraph"/>
              <w:ind w:left="0"/>
            </w:pPr>
            <w:r>
              <w:t xml:space="preserve">Up to </w:t>
            </w:r>
            <w:r w:rsidR="00271519">
              <w:t>50</w:t>
            </w:r>
            <w:r>
              <w:t xml:space="preserve">% covered </w:t>
            </w:r>
          </w:p>
        </w:tc>
        <w:tc>
          <w:tcPr>
            <w:tcW w:w="1980" w:type="dxa"/>
          </w:tcPr>
          <w:p w14:paraId="15E963EB" w14:textId="77777777" w:rsidR="00296B69" w:rsidRPr="00471CE7" w:rsidRDefault="00296B69" w:rsidP="000F6407">
            <w:pPr>
              <w:pStyle w:val="ListParagraph"/>
              <w:ind w:left="0"/>
            </w:pPr>
            <w:r>
              <w:t>25% covered |75% you pay</w:t>
            </w:r>
          </w:p>
        </w:tc>
        <w:tc>
          <w:tcPr>
            <w:tcW w:w="2070" w:type="dxa"/>
          </w:tcPr>
          <w:p w14:paraId="35AAEF56" w14:textId="18EDF599" w:rsidR="00296B69" w:rsidRPr="0077297E" w:rsidRDefault="0077297E" w:rsidP="000F6407">
            <w:pPr>
              <w:pStyle w:val="ListParagraph"/>
              <w:ind w:left="0"/>
            </w:pPr>
            <w:r>
              <w:t>Up to $41 covered</w:t>
            </w:r>
            <w:r w:rsidR="00212828">
              <w:t xml:space="preserve"> per person</w:t>
            </w:r>
          </w:p>
        </w:tc>
      </w:tr>
      <w:tr w:rsidR="0077297E" w14:paraId="12407C28" w14:textId="77777777" w:rsidTr="00F710C1">
        <w:tc>
          <w:tcPr>
            <w:tcW w:w="2250" w:type="dxa"/>
          </w:tcPr>
          <w:p w14:paraId="0678916A" w14:textId="4352860D" w:rsidR="0077297E" w:rsidRDefault="0077297E" w:rsidP="0077297E">
            <w:pPr>
              <w:pStyle w:val="ListParagraph"/>
              <w:ind w:left="0"/>
            </w:pPr>
            <w:r>
              <w:t>$30 twice per month (biweekly)</w:t>
            </w:r>
          </w:p>
        </w:tc>
        <w:tc>
          <w:tcPr>
            <w:tcW w:w="2070" w:type="dxa"/>
          </w:tcPr>
          <w:p w14:paraId="5A6F4E26" w14:textId="77777777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3-6 months of plan</w:t>
            </w:r>
            <w:r>
              <w:t xml:space="preserve"> onset</w:t>
            </w:r>
          </w:p>
        </w:tc>
        <w:tc>
          <w:tcPr>
            <w:tcW w:w="2070" w:type="dxa"/>
          </w:tcPr>
          <w:p w14:paraId="7B15DBF2" w14:textId="77777777" w:rsidR="0077297E" w:rsidRPr="00970D23" w:rsidRDefault="0077297E" w:rsidP="0077297E">
            <w:pPr>
              <w:pStyle w:val="ListParagraph"/>
              <w:ind w:left="0"/>
            </w:pPr>
            <w:r>
              <w:t xml:space="preserve">Up to 50% covered </w:t>
            </w:r>
          </w:p>
        </w:tc>
        <w:tc>
          <w:tcPr>
            <w:tcW w:w="1980" w:type="dxa"/>
          </w:tcPr>
          <w:p w14:paraId="10A3D272" w14:textId="77777777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>35% covered |65% you pay</w:t>
            </w:r>
          </w:p>
        </w:tc>
        <w:tc>
          <w:tcPr>
            <w:tcW w:w="2070" w:type="dxa"/>
          </w:tcPr>
          <w:p w14:paraId="77CD18E2" w14:textId="4D27AE91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>Up to $83 covered</w:t>
            </w:r>
            <w:r w:rsidR="00212828">
              <w:t xml:space="preserve"> per person</w:t>
            </w:r>
          </w:p>
        </w:tc>
      </w:tr>
      <w:tr w:rsidR="0077297E" w14:paraId="0E6955F5" w14:textId="77777777" w:rsidTr="00F710C1">
        <w:tc>
          <w:tcPr>
            <w:tcW w:w="2250" w:type="dxa"/>
          </w:tcPr>
          <w:p w14:paraId="2DBB8A04" w14:textId="62CC02C6" w:rsidR="0077297E" w:rsidRDefault="0077297E" w:rsidP="0077297E">
            <w:pPr>
              <w:pStyle w:val="ListParagraph"/>
              <w:ind w:left="0"/>
            </w:pPr>
            <w:r>
              <w:t>$30 twice per month (biweekly)</w:t>
            </w:r>
          </w:p>
        </w:tc>
        <w:tc>
          <w:tcPr>
            <w:tcW w:w="2070" w:type="dxa"/>
          </w:tcPr>
          <w:p w14:paraId="0EAA9825" w14:textId="77777777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6-12 months of your plan</w:t>
            </w:r>
            <w:r>
              <w:t xml:space="preserve"> onset</w:t>
            </w:r>
          </w:p>
        </w:tc>
        <w:tc>
          <w:tcPr>
            <w:tcW w:w="2070" w:type="dxa"/>
          </w:tcPr>
          <w:p w14:paraId="419B6B01" w14:textId="77777777" w:rsidR="0077297E" w:rsidRPr="00970D23" w:rsidRDefault="0077297E" w:rsidP="0077297E">
            <w:pPr>
              <w:pStyle w:val="ListParagraph"/>
              <w:ind w:left="0"/>
            </w:pPr>
            <w:r>
              <w:t xml:space="preserve">Up to 100% covered </w:t>
            </w:r>
          </w:p>
        </w:tc>
        <w:tc>
          <w:tcPr>
            <w:tcW w:w="1980" w:type="dxa"/>
          </w:tcPr>
          <w:p w14:paraId="0264DB9C" w14:textId="77777777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>35% covered |65% you pay</w:t>
            </w:r>
          </w:p>
        </w:tc>
        <w:tc>
          <w:tcPr>
            <w:tcW w:w="2070" w:type="dxa"/>
          </w:tcPr>
          <w:p w14:paraId="7249A5C4" w14:textId="0C7700B2" w:rsidR="0077297E" w:rsidRDefault="0077297E" w:rsidP="0077297E">
            <w:pPr>
              <w:pStyle w:val="ListParagraph"/>
              <w:ind w:left="0"/>
              <w:rPr>
                <w:b/>
                <w:bCs/>
              </w:rPr>
            </w:pPr>
            <w:r>
              <w:t>Up to $</w:t>
            </w:r>
            <w:r w:rsidR="0042554D">
              <w:t>215</w:t>
            </w:r>
            <w:r>
              <w:t xml:space="preserve"> covered</w:t>
            </w:r>
            <w:r w:rsidR="00212828">
              <w:t xml:space="preserve"> per person</w:t>
            </w:r>
          </w:p>
        </w:tc>
      </w:tr>
    </w:tbl>
    <w:p w14:paraId="1E358C0F" w14:textId="77777777" w:rsidR="002E2B41" w:rsidRDefault="002E2B41" w:rsidP="0098116A">
      <w:pPr>
        <w:pStyle w:val="ListParagraph"/>
        <w:rPr>
          <w:b/>
          <w:bCs/>
        </w:rPr>
      </w:pPr>
    </w:p>
    <w:p w14:paraId="78162DD2" w14:textId="16296231" w:rsidR="00271519" w:rsidRPr="00990B2B" w:rsidRDefault="0042554D" w:rsidP="00332487">
      <w:pPr>
        <w:pStyle w:val="ListParagraph"/>
        <w:numPr>
          <w:ilvl w:val="0"/>
          <w:numId w:val="1"/>
        </w:numPr>
        <w:rPr>
          <w:b/>
          <w:bCs/>
        </w:rPr>
      </w:pPr>
      <w:r w:rsidRPr="00990B2B">
        <w:rPr>
          <w:b/>
          <w:bCs/>
        </w:rPr>
        <w:t>T</w:t>
      </w:r>
      <w:r w:rsidR="00EE1A53" w:rsidRPr="00990B2B">
        <w:rPr>
          <w:b/>
          <w:bCs/>
        </w:rPr>
        <w:t>ELEHEALTH SERVICE COVERAGE</w:t>
      </w:r>
      <w:r w:rsidR="0098116A" w:rsidRPr="00990B2B">
        <w:rPr>
          <w:b/>
          <w:bCs/>
        </w:rPr>
        <w:t xml:space="preserve"> Plan</w:t>
      </w:r>
      <w:r w:rsidR="00DB6336" w:rsidRPr="00990B2B">
        <w:rPr>
          <w:b/>
          <w:bCs/>
        </w:rPr>
        <w:t xml:space="preserve">: </w:t>
      </w:r>
      <w:r w:rsidR="00DB6336">
        <w:t>Coverage covers up to 45-minute sessions.</w:t>
      </w:r>
      <w:r w:rsidR="00A715D5">
        <w:t xml:space="preserve">  Your premium covers (1) specialty per month.</w:t>
      </w:r>
      <w:r w:rsidR="00DB6336">
        <w:t xml:space="preserve">  Any session requiring a longer duration of </w:t>
      </w:r>
      <w:r w:rsidR="00212828">
        <w:t>time</w:t>
      </w:r>
      <w:r w:rsidR="00DB6336">
        <w:t xml:space="preserve"> will require a copay before the commencement of your virtual session. </w:t>
      </w:r>
      <w:r w:rsidR="00970D23">
        <w:t xml:space="preserve">You will receive notification of this financial responsibility before your scheduled appointment. </w:t>
      </w:r>
      <w:r w:rsidR="00DB6336">
        <w:t xml:space="preserve"> </w:t>
      </w:r>
    </w:p>
    <w:p w14:paraId="21A2F60C" w14:textId="77777777" w:rsidR="0042554D" w:rsidRPr="0098116A" w:rsidRDefault="0042554D" w:rsidP="00DE3F90">
      <w:pPr>
        <w:pStyle w:val="ListParagraph"/>
        <w:rPr>
          <w:b/>
          <w:bCs/>
        </w:rPr>
      </w:pPr>
    </w:p>
    <w:tbl>
      <w:tblPr>
        <w:tblStyle w:val="TableGrid"/>
        <w:tblpPr w:leftFromText="180" w:rightFromText="180" w:vertAnchor="page" w:horzAnchor="margin" w:tblpY="1933"/>
        <w:tblW w:w="10350" w:type="dxa"/>
        <w:tblLook w:val="04A0" w:firstRow="1" w:lastRow="0" w:firstColumn="1" w:lastColumn="0" w:noHBand="0" w:noVBand="1"/>
      </w:tblPr>
      <w:tblGrid>
        <w:gridCol w:w="2070"/>
        <w:gridCol w:w="1890"/>
        <w:gridCol w:w="2160"/>
        <w:gridCol w:w="2067"/>
        <w:gridCol w:w="2163"/>
      </w:tblGrid>
      <w:tr w:rsidR="00F710C1" w14:paraId="56CB8A40" w14:textId="77777777" w:rsidTr="00F710C1">
        <w:tc>
          <w:tcPr>
            <w:tcW w:w="2070" w:type="dxa"/>
          </w:tcPr>
          <w:p w14:paraId="0090FC9F" w14:textId="77777777" w:rsidR="00F710C1" w:rsidRPr="00DB6336" w:rsidRDefault="00F710C1" w:rsidP="00F710C1">
            <w:pPr>
              <w:pStyle w:val="ListParagraph"/>
              <w:ind w:left="0"/>
            </w:pPr>
            <w:r>
              <w:rPr>
                <w:b/>
                <w:bCs/>
              </w:rPr>
              <w:lastRenderedPageBreak/>
              <w:t xml:space="preserve">Monthly Premium </w:t>
            </w:r>
            <w:r>
              <w:t>(Individual)</w:t>
            </w:r>
          </w:p>
        </w:tc>
        <w:tc>
          <w:tcPr>
            <w:tcW w:w="1890" w:type="dxa"/>
          </w:tcPr>
          <w:p w14:paraId="55380D3E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160" w:type="dxa"/>
          </w:tcPr>
          <w:p w14:paraId="6260E72D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Skin Health Sessions </w:t>
            </w:r>
          </w:p>
        </w:tc>
        <w:tc>
          <w:tcPr>
            <w:tcW w:w="2067" w:type="dxa"/>
          </w:tcPr>
          <w:p w14:paraId="3A91A4FB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Nutritional Health Session</w:t>
            </w:r>
          </w:p>
        </w:tc>
        <w:tc>
          <w:tcPr>
            <w:tcW w:w="2163" w:type="dxa"/>
          </w:tcPr>
          <w:p w14:paraId="0072FFCA" w14:textId="77777777" w:rsidR="00F710C1" w:rsidRDefault="00F710C1" w:rsidP="00F710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Mental Health Session</w:t>
            </w:r>
          </w:p>
        </w:tc>
      </w:tr>
      <w:tr w:rsidR="00F710C1" w14:paraId="57B853E3" w14:textId="77777777" w:rsidTr="00F710C1">
        <w:tc>
          <w:tcPr>
            <w:tcW w:w="2070" w:type="dxa"/>
          </w:tcPr>
          <w:p w14:paraId="598396FC" w14:textId="77777777" w:rsidR="00F710C1" w:rsidRPr="0098116A" w:rsidRDefault="00F710C1" w:rsidP="00F710C1">
            <w:pPr>
              <w:pStyle w:val="ListParagraph"/>
              <w:ind w:left="0"/>
            </w:pPr>
            <w:r>
              <w:t>$45 twice per month (biweekly)</w:t>
            </w:r>
          </w:p>
        </w:tc>
        <w:tc>
          <w:tcPr>
            <w:tcW w:w="1890" w:type="dxa"/>
          </w:tcPr>
          <w:p w14:paraId="28442FC5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F</w:t>
            </w:r>
            <w:r w:rsidRPr="0098116A">
              <w:t>irst 3 months of</w:t>
            </w:r>
            <w:r>
              <w:t xml:space="preserve"> the </w:t>
            </w:r>
            <w:r w:rsidRPr="0098116A">
              <w:t xml:space="preserve"> plan</w:t>
            </w:r>
            <w:r>
              <w:t>’s onset</w:t>
            </w:r>
          </w:p>
        </w:tc>
        <w:tc>
          <w:tcPr>
            <w:tcW w:w="2160" w:type="dxa"/>
          </w:tcPr>
          <w:p w14:paraId="5AE95375" w14:textId="77777777" w:rsidR="00F710C1" w:rsidRPr="00A715D5" w:rsidRDefault="00F710C1" w:rsidP="00F710C1">
            <w:pPr>
              <w:pStyle w:val="ListParagraph"/>
              <w:ind w:left="0"/>
            </w:pPr>
            <w:r>
              <w:t>--</w:t>
            </w:r>
          </w:p>
        </w:tc>
        <w:tc>
          <w:tcPr>
            <w:tcW w:w="2067" w:type="dxa"/>
          </w:tcPr>
          <w:p w14:paraId="4433A6DD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  <w:tc>
          <w:tcPr>
            <w:tcW w:w="2163" w:type="dxa"/>
          </w:tcPr>
          <w:p w14:paraId="0C9553B1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</w:tr>
      <w:tr w:rsidR="00F710C1" w14:paraId="34EAF0FC" w14:textId="77777777" w:rsidTr="00F710C1">
        <w:tc>
          <w:tcPr>
            <w:tcW w:w="2070" w:type="dxa"/>
          </w:tcPr>
          <w:p w14:paraId="55771A35" w14:textId="77777777" w:rsidR="00F710C1" w:rsidRPr="00DE3F90" w:rsidRDefault="00F710C1" w:rsidP="00F710C1">
            <w:pPr>
              <w:pStyle w:val="ListParagraph"/>
              <w:ind w:left="0"/>
            </w:pPr>
            <w:r>
              <w:t>$45 twice per month (biweekly)</w:t>
            </w:r>
          </w:p>
        </w:tc>
        <w:tc>
          <w:tcPr>
            <w:tcW w:w="1890" w:type="dxa"/>
          </w:tcPr>
          <w:p w14:paraId="55354EED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3-6 months of plan</w:t>
            </w:r>
            <w:r>
              <w:t xml:space="preserve"> onset</w:t>
            </w:r>
          </w:p>
        </w:tc>
        <w:tc>
          <w:tcPr>
            <w:tcW w:w="2160" w:type="dxa"/>
          </w:tcPr>
          <w:p w14:paraId="7921B49C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--</w:t>
            </w:r>
          </w:p>
        </w:tc>
        <w:tc>
          <w:tcPr>
            <w:tcW w:w="2067" w:type="dxa"/>
          </w:tcPr>
          <w:p w14:paraId="1D1AAEB3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  <w:tc>
          <w:tcPr>
            <w:tcW w:w="2163" w:type="dxa"/>
          </w:tcPr>
          <w:p w14:paraId="23ACBD67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</w:tr>
      <w:tr w:rsidR="00F710C1" w14:paraId="03894DCF" w14:textId="77777777" w:rsidTr="00F710C1">
        <w:trPr>
          <w:trHeight w:val="80"/>
        </w:trPr>
        <w:tc>
          <w:tcPr>
            <w:tcW w:w="2070" w:type="dxa"/>
          </w:tcPr>
          <w:p w14:paraId="342BC1D9" w14:textId="77777777" w:rsidR="00F710C1" w:rsidRPr="00DE3F90" w:rsidRDefault="00F710C1" w:rsidP="00F710C1">
            <w:pPr>
              <w:pStyle w:val="ListParagraph"/>
              <w:ind w:left="0"/>
            </w:pPr>
            <w:r>
              <w:t>45 twice per month (biweekly)</w:t>
            </w:r>
          </w:p>
        </w:tc>
        <w:tc>
          <w:tcPr>
            <w:tcW w:w="1890" w:type="dxa"/>
          </w:tcPr>
          <w:p w14:paraId="0DB8748E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 xml:space="preserve">At </w:t>
            </w:r>
            <w:r w:rsidRPr="00DE3F90">
              <w:t>6-12 months of your plan</w:t>
            </w:r>
            <w:r>
              <w:t xml:space="preserve"> onset</w:t>
            </w:r>
          </w:p>
        </w:tc>
        <w:tc>
          <w:tcPr>
            <w:tcW w:w="2160" w:type="dxa"/>
          </w:tcPr>
          <w:p w14:paraId="785C3370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--</w:t>
            </w:r>
          </w:p>
        </w:tc>
        <w:tc>
          <w:tcPr>
            <w:tcW w:w="2067" w:type="dxa"/>
          </w:tcPr>
          <w:p w14:paraId="042E5750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  <w:tc>
          <w:tcPr>
            <w:tcW w:w="2163" w:type="dxa"/>
          </w:tcPr>
          <w:p w14:paraId="00D842DA" w14:textId="77777777" w:rsidR="00F710C1" w:rsidRDefault="00F710C1" w:rsidP="00F710C1">
            <w:pPr>
              <w:pStyle w:val="ListParagraph"/>
              <w:ind w:left="0"/>
              <w:rPr>
                <w:b/>
                <w:bCs/>
              </w:rPr>
            </w:pPr>
            <w:r>
              <w:t>Covers up to (1) session per month</w:t>
            </w:r>
          </w:p>
        </w:tc>
      </w:tr>
    </w:tbl>
    <w:p w14:paraId="0A39BCD7" w14:textId="77777777" w:rsidR="001F6236" w:rsidRPr="001F6236" w:rsidRDefault="001F6236" w:rsidP="001F6236">
      <w:pPr>
        <w:rPr>
          <w:b/>
          <w:bCs/>
        </w:rPr>
      </w:pPr>
    </w:p>
    <w:p w14:paraId="11943946" w14:textId="77777777" w:rsidR="00F710C1" w:rsidRDefault="00F710C1" w:rsidP="001F6236">
      <w:pPr>
        <w:rPr>
          <w:b/>
          <w:bCs/>
        </w:rPr>
      </w:pPr>
    </w:p>
    <w:p w14:paraId="28DDE82D" w14:textId="77777777" w:rsidR="00F710C1" w:rsidRDefault="00F710C1" w:rsidP="001F6236">
      <w:pPr>
        <w:rPr>
          <w:b/>
          <w:bCs/>
        </w:rPr>
      </w:pPr>
    </w:p>
    <w:p w14:paraId="7241C803" w14:textId="7E65F7BC" w:rsidR="001F6236" w:rsidRPr="001F6236" w:rsidRDefault="001F6236" w:rsidP="001F6236">
      <w:pPr>
        <w:rPr>
          <w:b/>
          <w:bCs/>
        </w:rPr>
      </w:pPr>
      <w:r w:rsidRPr="001F6236">
        <w:rPr>
          <w:b/>
          <w:bCs/>
        </w:rPr>
        <w:t xml:space="preserve">EXPLANATION OF BENEFITS FOR THE </w:t>
      </w:r>
      <w:r w:rsidR="00635B33">
        <w:rPr>
          <w:b/>
          <w:bCs/>
        </w:rPr>
        <w:t>INDIVIDUAL</w:t>
      </w:r>
    </w:p>
    <w:p w14:paraId="0E2527F6" w14:textId="4CA8A8DF" w:rsidR="001F6236" w:rsidRPr="001F6236" w:rsidRDefault="001F6236" w:rsidP="001F6236">
      <w:pPr>
        <w:rPr>
          <w:b/>
          <w:bCs/>
        </w:rPr>
      </w:pPr>
      <w:r w:rsidRPr="001F6236">
        <w:t xml:space="preserve">This plan is a coverage plan for </w:t>
      </w:r>
      <w:r w:rsidR="00635B33">
        <w:t xml:space="preserve">individuals who are receiving care from MDRN Health &amp; Beauty </w:t>
      </w:r>
      <w:r w:rsidRPr="001F6236">
        <w:t xml:space="preserve">providers </w:t>
      </w:r>
      <w:r w:rsidR="00635B33" w:rsidRPr="001F6236">
        <w:t>who</w:t>
      </w:r>
      <w:r w:rsidRPr="001F6236">
        <w:t xml:space="preserve"> are not covered by health insurance for your telehealth sessions.  You will have a buy</w:t>
      </w:r>
      <w:r w:rsidR="00635B33">
        <w:t>-</w:t>
      </w:r>
      <w:r w:rsidRPr="001F6236">
        <w:t xml:space="preserve">in fee at the time of your set up.  Test, supplementation, and retail are not covered under this plan. Your buy-in rate is a one-time fee. Upon </w:t>
      </w:r>
      <w:r>
        <w:t xml:space="preserve">the </w:t>
      </w:r>
      <w:r w:rsidR="00635B33">
        <w:t>person’s</w:t>
      </w:r>
      <w:r w:rsidRPr="001F6236">
        <w:t xml:space="preserve"> initial premium </w:t>
      </w:r>
      <w:r w:rsidR="00635B33">
        <w:t>payment</w:t>
      </w:r>
      <w:r w:rsidRPr="001F6236">
        <w:t xml:space="preserve">, </w:t>
      </w:r>
      <w:r>
        <w:t xml:space="preserve">the individual </w:t>
      </w:r>
      <w:r w:rsidRPr="001F6236">
        <w:t xml:space="preserve">will be able to utilize </w:t>
      </w:r>
      <w:r w:rsidR="00635B33">
        <w:t>thei</w:t>
      </w:r>
      <w:r w:rsidRPr="001F6236">
        <w:t xml:space="preserve">r coverage plan.  </w:t>
      </w:r>
      <w:r w:rsidR="00CC35E1">
        <w:t>T</w:t>
      </w:r>
      <w:r w:rsidRPr="001F6236">
        <w:t xml:space="preserve">here will be a copay (if applicable) at the time of the visit on the service provided.  </w:t>
      </w:r>
      <w:r>
        <w:t>The individual</w:t>
      </w:r>
      <w:r w:rsidRPr="001F6236">
        <w:t xml:space="preserve"> may be eligible to use </w:t>
      </w:r>
      <w:r w:rsidR="00635B33">
        <w:t xml:space="preserve">employer provided </w:t>
      </w:r>
      <w:r w:rsidRPr="001F6236">
        <w:t>HSA/FSA for copays if service is covered.</w:t>
      </w:r>
    </w:p>
    <w:p w14:paraId="427AB074" w14:textId="1C04F622" w:rsidR="001F6236" w:rsidRPr="001F6236" w:rsidRDefault="001F6236" w:rsidP="001F6236">
      <w:pPr>
        <w:rPr>
          <w:u w:val="single"/>
        </w:rPr>
      </w:pPr>
      <w:r w:rsidRPr="001F6236">
        <w:rPr>
          <w:b/>
          <w:bCs/>
          <w:u w:val="single"/>
        </w:rPr>
        <w:t>BUY IN RATE</w:t>
      </w:r>
      <w:r w:rsidRPr="001F6236">
        <w:rPr>
          <w:b/>
          <w:bCs/>
          <w:u w:val="single"/>
        </w:rPr>
        <w:tab/>
      </w:r>
      <w:r w:rsidR="00310516">
        <w:rPr>
          <w:b/>
          <w:bCs/>
          <w:u w:val="single"/>
        </w:rPr>
        <w:tab/>
      </w:r>
      <w:r w:rsidRPr="001F6236">
        <w:rPr>
          <w:b/>
          <w:bCs/>
          <w:u w:val="single"/>
        </w:rPr>
        <w:t>MONTHLY PREMIUM</w:t>
      </w:r>
      <w:r w:rsidR="00310516">
        <w:rPr>
          <w:b/>
          <w:bCs/>
          <w:u w:val="single"/>
        </w:rPr>
        <w:tab/>
      </w:r>
      <w:r w:rsidRPr="001F6236">
        <w:rPr>
          <w:b/>
          <w:bCs/>
          <w:u w:val="single"/>
        </w:rPr>
        <w:tab/>
      </w:r>
      <w:r w:rsidR="00310516">
        <w:rPr>
          <w:b/>
          <w:bCs/>
          <w:u w:val="single"/>
        </w:rPr>
        <w:t>YOUR PLAN BALANCE</w:t>
      </w:r>
      <w:r w:rsidRPr="001F6236">
        <w:rPr>
          <w:b/>
          <w:bCs/>
          <w:u w:val="single"/>
        </w:rPr>
        <w:tab/>
        <w:t xml:space="preserve">  </w:t>
      </w:r>
      <w:r w:rsidR="00253DC0">
        <w:rPr>
          <w:b/>
          <w:bCs/>
          <w:u w:val="single"/>
        </w:rPr>
        <w:tab/>
      </w:r>
      <w:r w:rsidRPr="001F6236">
        <w:rPr>
          <w:b/>
          <w:bCs/>
          <w:u w:val="single"/>
        </w:rPr>
        <w:t xml:space="preserve">CO-PAY </w:t>
      </w:r>
    </w:p>
    <w:p w14:paraId="77D032CC" w14:textId="2483764E" w:rsidR="001F6236" w:rsidRPr="001F6236" w:rsidRDefault="001F6236" w:rsidP="001F6236">
      <w:r w:rsidRPr="001F6236">
        <w:t>$45</w:t>
      </w:r>
      <w:r w:rsidRPr="001F6236">
        <w:tab/>
      </w:r>
      <w:r w:rsidRPr="001F6236">
        <w:tab/>
      </w:r>
      <w:r w:rsidR="00310516">
        <w:tab/>
        <w:t>$</w:t>
      </w:r>
      <w:r w:rsidRPr="001F6236">
        <w:t>45 biweekly</w:t>
      </w:r>
      <w:r w:rsidRPr="001F6236">
        <w:tab/>
      </w:r>
      <w:r w:rsidRPr="001F6236">
        <w:tab/>
      </w:r>
      <w:r w:rsidRPr="001F6236">
        <w:tab/>
      </w:r>
      <w:r w:rsidR="00310516">
        <w:t>100% of the monthly premium</w:t>
      </w:r>
      <w:r w:rsidRPr="001F6236">
        <w:tab/>
      </w:r>
      <w:r w:rsidRPr="001F6236">
        <w:tab/>
        <w:t>$70</w:t>
      </w:r>
      <w:r w:rsidR="00C81523">
        <w:t xml:space="preserve"> (for nutrition only)</w:t>
      </w:r>
      <w:r w:rsidRPr="001F6236">
        <w:tab/>
      </w:r>
      <w:r w:rsidRPr="001F6236">
        <w:rPr>
          <w:b/>
          <w:bCs/>
        </w:rPr>
        <w:tab/>
      </w:r>
    </w:p>
    <w:p w14:paraId="0939A217" w14:textId="77777777" w:rsidR="001F6236" w:rsidRPr="001F6236" w:rsidRDefault="001F6236" w:rsidP="001F6236">
      <w:pPr>
        <w:rPr>
          <w:b/>
          <w:bCs/>
        </w:rPr>
      </w:pPr>
    </w:p>
    <w:p w14:paraId="11F18F8B" w14:textId="370CE57D" w:rsidR="00DE3F90" w:rsidRDefault="002E2B41" w:rsidP="00A715D5">
      <w:pPr>
        <w:rPr>
          <w:b/>
          <w:bCs/>
        </w:rPr>
      </w:pPr>
      <w:r>
        <w:rPr>
          <w:b/>
          <w:bCs/>
        </w:rPr>
        <w:t>AGREEMENT &amp; SIGNATURE</w:t>
      </w:r>
    </w:p>
    <w:p w14:paraId="3ECA37D4" w14:textId="01F07A12" w:rsidR="002E2B41" w:rsidRDefault="002E2B41" w:rsidP="00A715D5">
      <w:r>
        <w:t xml:space="preserve">Upon your checked health savings coverage selection(s), you state that you completely understand the terms and conditions.  There are no refunds, with </w:t>
      </w:r>
      <w:r w:rsidR="00A72D7B">
        <w:t xml:space="preserve">all savings plans.  In the instance the individual must cancel,  all discounted benefits will immediately end.  </w:t>
      </w:r>
      <w:r w:rsidR="007D7602">
        <w:t xml:space="preserve">All parties have a duration of (1) year </w:t>
      </w:r>
      <w:r w:rsidR="00635B33">
        <w:t xml:space="preserve">from the date of cancelation </w:t>
      </w:r>
      <w:r w:rsidR="007D7602">
        <w:t>to utilize a</w:t>
      </w:r>
      <w:r w:rsidR="00A72D7B">
        <w:t>ny remaining balance</w:t>
      </w:r>
      <w:r w:rsidR="007D7602">
        <w:t xml:space="preserve"> </w:t>
      </w:r>
      <w:r w:rsidR="00A72D7B">
        <w:t>towards undiscounted services or retail</w:t>
      </w:r>
      <w:r w:rsidR="00635B33">
        <w:t xml:space="preserve"> to preclude forfeiting that balance</w:t>
      </w:r>
      <w:r w:rsidR="007D7602">
        <w:t xml:space="preserve">.  </w:t>
      </w:r>
      <w:r w:rsidR="00635B33">
        <w:t>With y</w:t>
      </w:r>
      <w:r w:rsidR="007D7602">
        <w:t>our signature below</w:t>
      </w:r>
      <w:r w:rsidR="00635B33">
        <w:t>, you</w:t>
      </w:r>
      <w:r w:rsidR="007D7602">
        <w:t xml:space="preserve"> declare you</w:t>
      </w:r>
      <w:r w:rsidR="005558FF">
        <w:t xml:space="preserve"> completely</w:t>
      </w:r>
      <w:r w:rsidR="007D7602">
        <w:t xml:space="preserve"> agree to th</w:t>
      </w:r>
      <w:r w:rsidR="005558FF">
        <w:t xml:space="preserve">e </w:t>
      </w:r>
      <w:r w:rsidR="007D7602">
        <w:t xml:space="preserve">written </w:t>
      </w:r>
      <w:r w:rsidR="005558FF">
        <w:t xml:space="preserve">mandates of this </w:t>
      </w:r>
      <w:r w:rsidR="007D7602">
        <w:t>contract.</w:t>
      </w:r>
    </w:p>
    <w:p w14:paraId="587D5C7E" w14:textId="66E65CBC" w:rsidR="007D7602" w:rsidRDefault="007D7602" w:rsidP="00A715D5">
      <w:bookmarkStart w:id="0" w:name="_Hlk179141205"/>
      <w:r>
        <w:t>Name:</w:t>
      </w:r>
    </w:p>
    <w:p w14:paraId="458B07B3" w14:textId="486ED0DB" w:rsidR="007D7602" w:rsidRPr="002E2B41" w:rsidRDefault="00253DC0" w:rsidP="00A715D5">
      <w:r>
        <w:pict w14:anchorId="165E9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34pt;height:80.4pt">
            <v:imagedata r:id="rId7" o:title=""/>
            <o:lock v:ext="edit" ungrouping="t" rotation="t" cropping="t" verticies="t" text="t" grouping="t"/>
            <o:signatureline v:ext="edit" id="{E7E5DB48-14F2-4694-B232-310E248CEF2A}" provid="{00000000-0000-0000-0000-000000000000}" o:suggestedsigner="Signature (right click to sign)" issignatureline="t"/>
          </v:shape>
        </w:pict>
      </w:r>
      <w:r w:rsidR="007D7602">
        <w:tab/>
      </w:r>
      <w:r w:rsidR="007D7602">
        <w:tab/>
      </w:r>
      <w:r w:rsidR="007D7602">
        <w:tab/>
        <w:t xml:space="preserve">Date: </w:t>
      </w:r>
      <w:r w:rsidR="00F710C1">
        <w:rPr>
          <w:noProof/>
        </w:rPr>
        <w:t>10/4/2024</w:t>
      </w:r>
      <w:bookmarkEnd w:id="0"/>
    </w:p>
    <w:sectPr w:rsidR="007D7602" w:rsidRPr="002E2B41" w:rsidSect="00F710C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EA7C" w14:textId="77777777" w:rsidR="003127B9" w:rsidRDefault="003127B9" w:rsidP="007D7602">
      <w:pPr>
        <w:spacing w:after="0" w:line="240" w:lineRule="auto"/>
      </w:pPr>
      <w:r>
        <w:separator/>
      </w:r>
    </w:p>
  </w:endnote>
  <w:endnote w:type="continuationSeparator" w:id="0">
    <w:p w14:paraId="1E5E9DEF" w14:textId="77777777" w:rsidR="003127B9" w:rsidRDefault="003127B9" w:rsidP="007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6A79" w14:textId="77777777" w:rsidR="003127B9" w:rsidRDefault="003127B9" w:rsidP="007D7602">
      <w:pPr>
        <w:spacing w:after="0" w:line="240" w:lineRule="auto"/>
      </w:pPr>
      <w:r>
        <w:separator/>
      </w:r>
    </w:p>
  </w:footnote>
  <w:footnote w:type="continuationSeparator" w:id="0">
    <w:p w14:paraId="75F97AE0" w14:textId="77777777" w:rsidR="003127B9" w:rsidRDefault="003127B9" w:rsidP="007D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EAEA" w14:textId="7E9F47D4" w:rsidR="007D7602" w:rsidRPr="007D7602" w:rsidRDefault="007D7602" w:rsidP="007D7602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939577" wp14:editId="1485880F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095927" cy="1036320"/>
          <wp:effectExtent l="0" t="0" r="0" b="0"/>
          <wp:wrapNone/>
          <wp:docPr id="654951857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951857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095927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5C8"/>
    <w:multiLevelType w:val="hybridMultilevel"/>
    <w:tmpl w:val="CF466E0A"/>
    <w:lvl w:ilvl="0" w:tplc="FCCE0C0E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53"/>
    <w:rsid w:val="000119E1"/>
    <w:rsid w:val="00042C08"/>
    <w:rsid w:val="000E0136"/>
    <w:rsid w:val="00131137"/>
    <w:rsid w:val="001F6236"/>
    <w:rsid w:val="00212828"/>
    <w:rsid w:val="00253DC0"/>
    <w:rsid w:val="00266D8A"/>
    <w:rsid w:val="00271519"/>
    <w:rsid w:val="00296B69"/>
    <w:rsid w:val="002E2B41"/>
    <w:rsid w:val="00310516"/>
    <w:rsid w:val="003127B9"/>
    <w:rsid w:val="00313E38"/>
    <w:rsid w:val="0042554D"/>
    <w:rsid w:val="00471CE7"/>
    <w:rsid w:val="00474108"/>
    <w:rsid w:val="005311D9"/>
    <w:rsid w:val="005558FF"/>
    <w:rsid w:val="00620789"/>
    <w:rsid w:val="00635B33"/>
    <w:rsid w:val="00674C60"/>
    <w:rsid w:val="0077297E"/>
    <w:rsid w:val="007D7602"/>
    <w:rsid w:val="008234FA"/>
    <w:rsid w:val="00883F58"/>
    <w:rsid w:val="00970D23"/>
    <w:rsid w:val="0098116A"/>
    <w:rsid w:val="00990B2B"/>
    <w:rsid w:val="00A715D5"/>
    <w:rsid w:val="00A72D7B"/>
    <w:rsid w:val="00A9539F"/>
    <w:rsid w:val="00AA062D"/>
    <w:rsid w:val="00AF405A"/>
    <w:rsid w:val="00B73CF1"/>
    <w:rsid w:val="00B80CDD"/>
    <w:rsid w:val="00C0067E"/>
    <w:rsid w:val="00C4005B"/>
    <w:rsid w:val="00C81523"/>
    <w:rsid w:val="00CB7031"/>
    <w:rsid w:val="00CC35E1"/>
    <w:rsid w:val="00CD0CCC"/>
    <w:rsid w:val="00D568F9"/>
    <w:rsid w:val="00D75242"/>
    <w:rsid w:val="00D7580E"/>
    <w:rsid w:val="00DB6336"/>
    <w:rsid w:val="00DE3F90"/>
    <w:rsid w:val="00EB538C"/>
    <w:rsid w:val="00EE1A53"/>
    <w:rsid w:val="00F17DC6"/>
    <w:rsid w:val="00F710C1"/>
    <w:rsid w:val="00F96123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A0699"/>
  <w15:chartTrackingRefBased/>
  <w15:docId w15:val="{7A51D45B-B4EA-4E95-8EF4-028F6F2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02"/>
  </w:style>
  <w:style w:type="paragraph" w:styleId="Footer">
    <w:name w:val="footer"/>
    <w:basedOn w:val="Normal"/>
    <w:link w:val="FooterChar"/>
    <w:uiPriority w:val="99"/>
    <w:unhideWhenUsed/>
    <w:rsid w:val="007D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Empress Light</dc:creator>
  <cp:keywords/>
  <dc:description/>
  <cp:lastModifiedBy>Empress Light</cp:lastModifiedBy>
  <cp:revision>3</cp:revision>
  <dcterms:created xsi:type="dcterms:W3CDTF">2024-10-07T01:08:00Z</dcterms:created>
  <dcterms:modified xsi:type="dcterms:W3CDTF">2024-10-07T15:46:00Z</dcterms:modified>
</cp:coreProperties>
</file>